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ook w:val="04A0"/>
      </w:tblPr>
      <w:tblGrid>
        <w:gridCol w:w="885"/>
        <w:gridCol w:w="885"/>
        <w:gridCol w:w="300"/>
        <w:gridCol w:w="586"/>
        <w:gridCol w:w="886"/>
        <w:gridCol w:w="886"/>
        <w:gridCol w:w="886"/>
        <w:gridCol w:w="356"/>
        <w:gridCol w:w="530"/>
        <w:gridCol w:w="370"/>
        <w:gridCol w:w="516"/>
        <w:gridCol w:w="1137"/>
        <w:gridCol w:w="1137"/>
      </w:tblGrid>
      <w:tr w:rsidR="00652802" w:rsidTr="00652802">
        <w:trPr>
          <w:trHeight w:val="405"/>
        </w:trPr>
        <w:tc>
          <w:tcPr>
            <w:tcW w:w="9360" w:type="dxa"/>
            <w:gridSpan w:val="13"/>
            <w:tcBorders>
              <w:top w:val="nil"/>
              <w:left w:val="nil"/>
              <w:bottom w:val="single" w:sz="8" w:space="0" w:color="auto"/>
              <w:right w:val="nil"/>
            </w:tcBorders>
            <w:noWrap/>
          </w:tcPr>
          <w:p w:rsidR="00652802" w:rsidRDefault="00652802">
            <w:pPr>
              <w:pageBreakBefore/>
              <w:spacing w:after="0" w:line="240" w:lineRule="auto"/>
              <w:rPr>
                <w:rFonts w:ascii="Times New Roman" w:eastAsia="Times New Roman" w:hAnsi="Times New Roman" w:cs="Times New Roman"/>
                <w:b/>
                <w:bCs/>
                <w:i/>
                <w:color w:val="000000"/>
                <w:sz w:val="20"/>
                <w:szCs w:val="20"/>
              </w:rPr>
            </w:pPr>
          </w:p>
          <w:p w:rsidR="00652802" w:rsidRDefault="00652802" w:rsidP="00652802">
            <w:pPr>
              <w:pageBreakBefore/>
              <w:spacing w:after="0" w:line="240" w:lineRule="auto"/>
              <w:jc w:val="center"/>
              <w:rPr>
                <w:rFonts w:ascii="Times New Roman" w:eastAsia="Times New Roman" w:hAnsi="Times New Roman" w:cs="Times New Roman"/>
                <w:b/>
                <w:bCs/>
                <w:i/>
                <w:color w:val="000000"/>
                <w:sz w:val="20"/>
                <w:szCs w:val="20"/>
              </w:rPr>
            </w:pPr>
          </w:p>
          <w:p w:rsidR="00652802" w:rsidRDefault="00652802">
            <w:pPr>
              <w:pageBreakBefore/>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CURRICULUM VITAE</w:t>
            </w:r>
          </w:p>
        </w:tc>
      </w:tr>
      <w:tr w:rsidR="00652802" w:rsidTr="00652802">
        <w:trPr>
          <w:trHeight w:val="493"/>
        </w:trPr>
        <w:tc>
          <w:tcPr>
            <w:tcW w:w="5670" w:type="dxa"/>
            <w:gridSpan w:val="8"/>
            <w:tcBorders>
              <w:top w:val="single" w:sz="8" w:space="0" w:color="auto"/>
              <w:left w:val="nil"/>
              <w:bottom w:val="dotted" w:sz="4" w:space="0" w:color="auto"/>
              <w:right w:val="nil"/>
            </w:tcBorders>
            <w:noWrap/>
            <w:vAlign w:val="center"/>
            <w:hideMark/>
          </w:tcPr>
          <w:p w:rsidR="00652802" w:rsidRDefault="00652802">
            <w:pPr>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b/>
                <w:color w:val="000000"/>
                <w:sz w:val="20"/>
                <w:szCs w:val="20"/>
                <w:shd w:val="clear" w:color="auto" w:fill="FFFFFF"/>
              </w:rPr>
              <w:t>Makvala</w:t>
            </w:r>
            <w:r>
              <w:rPr>
                <w:rFonts w:ascii="Times New Roman" w:eastAsia="Times New Roman" w:hAnsi="Times New Roman" w:cs="Times New Roman"/>
                <w:b/>
                <w:color w:val="000000"/>
                <w:sz w:val="20"/>
                <w:szCs w:val="20"/>
              </w:rPr>
              <w:t> </w:t>
            </w:r>
            <w:r>
              <w:rPr>
                <w:rFonts w:ascii="Times New Roman" w:hAnsi="Times New Roman" w:cs="Times New Roman"/>
                <w:b/>
                <w:color w:val="000000"/>
                <w:sz w:val="20"/>
                <w:szCs w:val="20"/>
                <w:shd w:val="clear" w:color="auto" w:fill="FFFFFF"/>
              </w:rPr>
              <w:t>Mikeladze</w:t>
            </w:r>
          </w:p>
        </w:tc>
        <w:tc>
          <w:tcPr>
            <w:tcW w:w="900" w:type="dxa"/>
            <w:gridSpan w:val="2"/>
            <w:noWrap/>
            <w:hideMark/>
          </w:tcPr>
          <w:p w:rsidR="00652802" w:rsidRDefault="00652802">
            <w:pPr>
              <w:rPr>
                <w:rFonts w:ascii="Times New Roman" w:eastAsia="Times New Roman" w:hAnsi="Times New Roman" w:cs="Times New Roman"/>
                <w:b/>
                <w:color w:val="000000"/>
                <w:sz w:val="20"/>
                <w:szCs w:val="20"/>
              </w:rPr>
            </w:pPr>
          </w:p>
        </w:tc>
        <w:tc>
          <w:tcPr>
            <w:tcW w:w="2790" w:type="dxa"/>
            <w:gridSpan w:val="3"/>
            <w:tcBorders>
              <w:top w:val="nil"/>
              <w:left w:val="nil"/>
              <w:bottom w:val="dotted" w:sz="4" w:space="0" w:color="auto"/>
              <w:right w:val="nil"/>
            </w:tcBorders>
            <w:noWrap/>
          </w:tcPr>
          <w:p w:rsidR="00652802" w:rsidRDefault="00652802">
            <w:pPr>
              <w:spacing w:after="0" w:line="240" w:lineRule="auto"/>
              <w:jc w:val="center"/>
              <w:rPr>
                <w:rFonts w:ascii="Times New Roman" w:hAnsi="Times New Roman" w:cs="Times New Roman"/>
                <w:color w:val="000000"/>
                <w:sz w:val="20"/>
                <w:szCs w:val="20"/>
                <w:shd w:val="clear" w:color="auto" w:fill="FFFFFF"/>
                <w:lang w:val="ka-GE"/>
              </w:rPr>
            </w:pPr>
          </w:p>
          <w:p w:rsidR="00652802" w:rsidRDefault="00652802">
            <w:pPr>
              <w:spacing w:after="0" w:line="240" w:lineRule="auto"/>
              <w:jc w:val="center"/>
              <w:rPr>
                <w:rFonts w:ascii="Times New Roman" w:eastAsia="Times New Roman" w:hAnsi="Times New Roman" w:cs="Times New Roman"/>
                <w:color w:val="000000"/>
                <w:sz w:val="20"/>
                <w:szCs w:val="20"/>
              </w:rPr>
            </w:pPr>
          </w:p>
        </w:tc>
      </w:tr>
      <w:tr w:rsidR="00652802" w:rsidTr="00652802">
        <w:trPr>
          <w:trHeight w:val="240"/>
        </w:trPr>
        <w:tc>
          <w:tcPr>
            <w:tcW w:w="5670" w:type="dxa"/>
            <w:gridSpan w:val="8"/>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Surname</w:t>
            </w:r>
          </w:p>
        </w:tc>
        <w:tc>
          <w:tcPr>
            <w:tcW w:w="900" w:type="dxa"/>
            <w:gridSpan w:val="2"/>
            <w:noWrap/>
            <w:hideMark/>
          </w:tcPr>
          <w:p w:rsidR="00652802" w:rsidRDefault="00652802">
            <w:pPr>
              <w:rPr>
                <w:rFonts w:ascii="Times New Roman" w:eastAsia="Times New Roman" w:hAnsi="Times New Roman" w:cs="Times New Roman"/>
                <w:color w:val="000000"/>
                <w:sz w:val="20"/>
                <w:szCs w:val="20"/>
              </w:rPr>
            </w:pPr>
          </w:p>
        </w:tc>
        <w:tc>
          <w:tcPr>
            <w:tcW w:w="2790" w:type="dxa"/>
            <w:gridSpan w:val="3"/>
            <w:noWrap/>
            <w:hideMark/>
          </w:tcPr>
          <w:p w:rsidR="00652802" w:rsidRDefault="00652802">
            <w:pPr>
              <w:spacing w:after="0" w:line="240" w:lineRule="auto"/>
              <w:jc w:val="center"/>
              <w:rPr>
                <w:rFonts w:ascii="Times New Roman" w:eastAsia="Times New Roman" w:hAnsi="Times New Roman" w:cs="Times New Roman"/>
                <w:color w:val="000000"/>
                <w:sz w:val="20"/>
                <w:szCs w:val="20"/>
              </w:rPr>
            </w:pPr>
          </w:p>
        </w:tc>
      </w:tr>
      <w:tr w:rsidR="00652802" w:rsidTr="00652802">
        <w:trPr>
          <w:trHeight w:val="300"/>
        </w:trPr>
        <w:tc>
          <w:tcPr>
            <w:tcW w:w="2070" w:type="dxa"/>
            <w:gridSpan w:val="3"/>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Telephone</w:t>
            </w:r>
          </w:p>
        </w:tc>
        <w:tc>
          <w:tcPr>
            <w:tcW w:w="3600" w:type="dxa"/>
            <w:gridSpan w:val="5"/>
            <w:tcBorders>
              <w:top w:val="nil"/>
              <w:left w:val="nil"/>
              <w:bottom w:val="dotted" w:sz="4" w:space="0" w:color="auto"/>
              <w:right w:val="nil"/>
            </w:tcBorders>
            <w:noWrap/>
            <w:hideMark/>
          </w:tcPr>
          <w:p w:rsidR="00652802" w:rsidRDefault="00652802">
            <w:pPr>
              <w:rPr>
                <w:rFonts w:ascii="Times New Roman" w:eastAsia="Times New Roman" w:hAnsi="Times New Roman" w:cs="Times New Roman"/>
                <w:color w:val="000000"/>
                <w:sz w:val="20"/>
                <w:szCs w:val="20"/>
              </w:rPr>
            </w:pPr>
          </w:p>
        </w:tc>
        <w:tc>
          <w:tcPr>
            <w:tcW w:w="900" w:type="dxa"/>
            <w:gridSpan w:val="2"/>
            <w:noWrap/>
            <w:hideMark/>
          </w:tcPr>
          <w:p w:rsidR="00652802" w:rsidRDefault="00652802">
            <w:pPr>
              <w:spacing w:after="0"/>
              <w:rPr>
                <w:sz w:val="20"/>
                <w:szCs w:val="20"/>
              </w:rPr>
            </w:pPr>
          </w:p>
        </w:tc>
        <w:tc>
          <w:tcPr>
            <w:tcW w:w="2790" w:type="dxa"/>
            <w:gridSpan w:val="3"/>
            <w:tcBorders>
              <w:top w:val="nil"/>
              <w:left w:val="nil"/>
              <w:bottom w:val="dotted" w:sz="4" w:space="0" w:color="auto"/>
              <w:right w:val="nil"/>
            </w:tcBorders>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15/04/1936 </w:t>
            </w:r>
          </w:p>
        </w:tc>
      </w:tr>
      <w:tr w:rsidR="00652802" w:rsidTr="00652802">
        <w:trPr>
          <w:trHeight w:val="240"/>
        </w:trPr>
        <w:tc>
          <w:tcPr>
            <w:tcW w:w="2070" w:type="dxa"/>
            <w:gridSpan w:val="3"/>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w:t>
            </w:r>
          </w:p>
        </w:tc>
        <w:tc>
          <w:tcPr>
            <w:tcW w:w="3600" w:type="dxa"/>
            <w:gridSpan w:val="5"/>
            <w:tcBorders>
              <w:top w:val="dotted" w:sz="4" w:space="0" w:color="auto"/>
              <w:left w:val="nil"/>
              <w:bottom w:val="dotted" w:sz="4" w:space="0" w:color="auto"/>
              <w:right w:val="nil"/>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hyperlink r:id="rId6" w:history="1">
              <w:r>
                <w:rPr>
                  <w:rStyle w:val="Hyperlink"/>
                  <w:rFonts w:ascii="Times New Roman" w:hAnsi="Times New Roman" w:cs="Times New Roman"/>
                  <w:color w:val="000000"/>
                  <w:sz w:val="20"/>
                  <w:szCs w:val="20"/>
                  <w:shd w:val="clear" w:color="auto" w:fill="FFFFFF"/>
                </w:rPr>
                <w:t>mmikeladze@gmail.com</w:t>
              </w:r>
            </w:hyperlink>
          </w:p>
        </w:tc>
        <w:tc>
          <w:tcPr>
            <w:tcW w:w="900" w:type="dxa"/>
            <w:gridSpan w:val="2"/>
            <w:noWrap/>
            <w:hideMark/>
          </w:tcPr>
          <w:p w:rsidR="00652802" w:rsidRDefault="00652802">
            <w:pPr>
              <w:rPr>
                <w:rFonts w:ascii="Times New Roman" w:eastAsia="Times New Roman" w:hAnsi="Times New Roman" w:cs="Times New Roman"/>
                <w:color w:val="000000"/>
                <w:sz w:val="20"/>
                <w:szCs w:val="20"/>
              </w:rPr>
            </w:pPr>
          </w:p>
        </w:tc>
        <w:tc>
          <w:tcPr>
            <w:tcW w:w="2790" w:type="dxa"/>
            <w:gridSpan w:val="3"/>
            <w:noWrap/>
          </w:tcPr>
          <w:p w:rsidR="00652802" w:rsidRDefault="00652802">
            <w:pPr>
              <w:spacing w:after="0" w:line="240" w:lineRule="auto"/>
              <w:rPr>
                <w:rFonts w:ascii="Times New Roman" w:eastAsia="Times New Roman" w:hAnsi="Times New Roman" w:cs="Times New Roman"/>
                <w:color w:val="000000"/>
                <w:sz w:val="20"/>
                <w:szCs w:val="20"/>
              </w:rPr>
            </w:pPr>
          </w:p>
        </w:tc>
      </w:tr>
      <w:tr w:rsidR="00652802" w:rsidTr="00652802">
        <w:trPr>
          <w:trHeight w:val="240"/>
        </w:trPr>
        <w:tc>
          <w:tcPr>
            <w:tcW w:w="2070" w:type="dxa"/>
            <w:gridSpan w:val="3"/>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Webpage</w:t>
            </w:r>
          </w:p>
        </w:tc>
        <w:tc>
          <w:tcPr>
            <w:tcW w:w="3600" w:type="dxa"/>
            <w:gridSpan w:val="5"/>
            <w:tcBorders>
              <w:top w:val="dotted" w:sz="4" w:space="0" w:color="auto"/>
              <w:left w:val="nil"/>
              <w:bottom w:val="dotted" w:sz="4" w:space="0" w:color="auto"/>
              <w:right w:val="nil"/>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gridSpan w:val="2"/>
            <w:noWrap/>
            <w:hideMark/>
          </w:tcPr>
          <w:p w:rsidR="00652802" w:rsidRDefault="00652802">
            <w:pPr>
              <w:rPr>
                <w:rFonts w:ascii="Times New Roman" w:eastAsia="Times New Roman" w:hAnsi="Times New Roman" w:cs="Times New Roman"/>
                <w:color w:val="000000"/>
                <w:sz w:val="20"/>
                <w:szCs w:val="20"/>
              </w:rPr>
            </w:pPr>
          </w:p>
        </w:tc>
        <w:tc>
          <w:tcPr>
            <w:tcW w:w="2790" w:type="dxa"/>
            <w:gridSpan w:val="3"/>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Birth (D/M/Y)</w:t>
            </w:r>
          </w:p>
        </w:tc>
      </w:tr>
      <w:tr w:rsidR="00652802" w:rsidTr="00652802">
        <w:trPr>
          <w:trHeight w:val="240"/>
        </w:trPr>
        <w:tc>
          <w:tcPr>
            <w:tcW w:w="885" w:type="dxa"/>
            <w:noWrap/>
            <w:hideMark/>
          </w:tcPr>
          <w:p w:rsidR="00652802" w:rsidRDefault="00652802">
            <w:pPr>
              <w:rPr>
                <w:rFonts w:ascii="Sylfaen" w:eastAsia="Times New Roman" w:hAnsi="Sylfaen" w:cs="Times New Roman"/>
                <w:color w:val="000000"/>
                <w:sz w:val="20"/>
                <w:szCs w:val="20"/>
                <w:lang w:val="ka-GE"/>
              </w:rPr>
            </w:pPr>
          </w:p>
          <w:p w:rsidR="00652802" w:rsidRPr="00652802" w:rsidRDefault="00652802">
            <w:pPr>
              <w:rPr>
                <w:rFonts w:ascii="Sylfaen" w:eastAsia="Times New Roman" w:hAnsi="Sylfaen" w:cs="Times New Roman"/>
                <w:color w:val="000000"/>
                <w:sz w:val="20"/>
                <w:szCs w:val="20"/>
                <w:lang w:val="ka-GE"/>
              </w:rPr>
            </w:pPr>
          </w:p>
        </w:tc>
        <w:tc>
          <w:tcPr>
            <w:tcW w:w="885" w:type="dxa"/>
            <w:noWrap/>
            <w:hideMark/>
          </w:tcPr>
          <w:p w:rsidR="00652802" w:rsidRDefault="00652802">
            <w:pPr>
              <w:spacing w:after="0"/>
              <w:rPr>
                <w:sz w:val="20"/>
                <w:szCs w:val="20"/>
              </w:rPr>
            </w:pPr>
          </w:p>
        </w:tc>
        <w:tc>
          <w:tcPr>
            <w:tcW w:w="886" w:type="dxa"/>
            <w:gridSpan w:val="2"/>
            <w:noWrap/>
            <w:hideMark/>
          </w:tcPr>
          <w:p w:rsidR="00652802" w:rsidRDefault="00652802">
            <w:pPr>
              <w:spacing w:after="0"/>
              <w:rPr>
                <w:sz w:val="20"/>
                <w:szCs w:val="20"/>
              </w:rPr>
            </w:pPr>
          </w:p>
        </w:tc>
        <w:tc>
          <w:tcPr>
            <w:tcW w:w="886" w:type="dxa"/>
            <w:noWrap/>
            <w:hideMark/>
          </w:tcPr>
          <w:p w:rsidR="00652802" w:rsidRDefault="00652802">
            <w:pPr>
              <w:spacing w:after="0"/>
              <w:rPr>
                <w:sz w:val="20"/>
                <w:szCs w:val="20"/>
              </w:rPr>
            </w:pPr>
          </w:p>
        </w:tc>
        <w:tc>
          <w:tcPr>
            <w:tcW w:w="886" w:type="dxa"/>
            <w:noWrap/>
            <w:hideMark/>
          </w:tcPr>
          <w:p w:rsidR="00652802" w:rsidRDefault="00652802">
            <w:pPr>
              <w:spacing w:after="0"/>
              <w:rPr>
                <w:sz w:val="20"/>
                <w:szCs w:val="20"/>
              </w:rPr>
            </w:pPr>
          </w:p>
        </w:tc>
        <w:tc>
          <w:tcPr>
            <w:tcW w:w="886" w:type="dxa"/>
            <w:noWrap/>
            <w:hideMark/>
          </w:tcPr>
          <w:p w:rsidR="00652802" w:rsidRDefault="00652802">
            <w:pPr>
              <w:spacing w:after="0"/>
              <w:rPr>
                <w:sz w:val="20"/>
                <w:szCs w:val="20"/>
              </w:rPr>
            </w:pPr>
          </w:p>
        </w:tc>
        <w:tc>
          <w:tcPr>
            <w:tcW w:w="886" w:type="dxa"/>
            <w:gridSpan w:val="2"/>
            <w:noWrap/>
            <w:hideMark/>
          </w:tcPr>
          <w:p w:rsidR="00652802" w:rsidRDefault="00652802">
            <w:pPr>
              <w:spacing w:after="0"/>
              <w:rPr>
                <w:sz w:val="20"/>
                <w:szCs w:val="20"/>
              </w:rPr>
            </w:pPr>
          </w:p>
        </w:tc>
        <w:tc>
          <w:tcPr>
            <w:tcW w:w="886" w:type="dxa"/>
            <w:gridSpan w:val="2"/>
            <w:noWrap/>
            <w:hideMark/>
          </w:tcPr>
          <w:p w:rsidR="00652802" w:rsidRDefault="00652802">
            <w:pPr>
              <w:spacing w:after="0"/>
              <w:rPr>
                <w:sz w:val="20"/>
                <w:szCs w:val="20"/>
              </w:rPr>
            </w:pPr>
          </w:p>
        </w:tc>
        <w:tc>
          <w:tcPr>
            <w:tcW w:w="1137" w:type="dxa"/>
            <w:noWrap/>
            <w:hideMark/>
          </w:tcPr>
          <w:p w:rsidR="00652802" w:rsidRDefault="00652802">
            <w:pPr>
              <w:spacing w:after="0"/>
              <w:rPr>
                <w:sz w:val="20"/>
                <w:szCs w:val="20"/>
              </w:rPr>
            </w:pPr>
          </w:p>
        </w:tc>
        <w:tc>
          <w:tcPr>
            <w:tcW w:w="1137" w:type="dxa"/>
            <w:noWrap/>
            <w:hideMark/>
          </w:tcPr>
          <w:p w:rsidR="00652802" w:rsidRDefault="00652802">
            <w:pPr>
              <w:spacing w:after="0"/>
              <w:rPr>
                <w:sz w:val="20"/>
                <w:szCs w:val="20"/>
              </w:rPr>
            </w:pPr>
          </w:p>
        </w:tc>
      </w:tr>
      <w:tr w:rsidR="00652802" w:rsidRPr="00652802" w:rsidTr="00652802">
        <w:trPr>
          <w:trHeight w:val="530"/>
        </w:trPr>
        <w:tc>
          <w:tcPr>
            <w:tcW w:w="9360" w:type="dxa"/>
            <w:gridSpan w:val="13"/>
            <w:tcBorders>
              <w:top w:val="nil"/>
              <w:left w:val="nil"/>
              <w:bottom w:val="dotted" w:sz="4" w:space="0" w:color="auto"/>
              <w:right w:val="nil"/>
            </w:tcBorders>
            <w:noWrap/>
            <w:hideMark/>
          </w:tcPr>
          <w:p w:rsidR="00652802" w:rsidRPr="00652802" w:rsidRDefault="00652802">
            <w:pPr>
              <w:spacing w:after="0" w:line="240" w:lineRule="auto"/>
              <w:jc w:val="center"/>
              <w:rPr>
                <w:rFonts w:ascii="Sylfaen" w:eastAsia="Times New Roman" w:hAnsi="Sylfaen" w:cs="Times New Roman"/>
                <w:color w:val="000000"/>
                <w:sz w:val="20"/>
                <w:szCs w:val="20"/>
              </w:rPr>
            </w:pPr>
            <w:r>
              <w:rPr>
                <w:rFonts w:ascii="Times New Roman" w:eastAsia="Times New Roman" w:hAnsi="Times New Roman" w:cs="Times New Roman"/>
                <w:color w:val="000000"/>
                <w:sz w:val="20"/>
                <w:szCs w:val="20"/>
              </w:rPr>
              <w:t>Caucasian studies, Language contacts, Bilingualism, Language documentation</w:t>
            </w:r>
            <w:r>
              <w:rPr>
                <w:rFonts w:ascii="Sylfaen" w:eastAsia="Times New Roman" w:hAnsi="Sylfaen" w:cs="Times New Roman"/>
                <w:color w:val="000000"/>
                <w:sz w:val="20"/>
                <w:szCs w:val="20"/>
                <w:lang w:val="ka-GE"/>
              </w:rPr>
              <w:t xml:space="preserve">, </w:t>
            </w:r>
            <w:r>
              <w:rPr>
                <w:rFonts w:ascii="Sylfaen" w:eastAsia="Times New Roman" w:hAnsi="Sylfaen" w:cs="Times New Roman"/>
                <w:color w:val="000000"/>
                <w:sz w:val="20"/>
                <w:szCs w:val="20"/>
              </w:rPr>
              <w:t>Interference, Actual problems of the Georgian language</w:t>
            </w:r>
          </w:p>
        </w:tc>
      </w:tr>
      <w:tr w:rsidR="00652802" w:rsidTr="00652802">
        <w:trPr>
          <w:trHeight w:val="240"/>
        </w:trPr>
        <w:tc>
          <w:tcPr>
            <w:tcW w:w="9360" w:type="dxa"/>
            <w:gridSpan w:val="13"/>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Interests</w:t>
            </w:r>
          </w:p>
        </w:tc>
      </w:tr>
    </w:tbl>
    <w:p w:rsidR="00652802" w:rsidRDefault="00652802" w:rsidP="00652802">
      <w:pPr>
        <w:spacing w:line="240" w:lineRule="auto"/>
        <w:rPr>
          <w:rFonts w:ascii="Times New Roman" w:hAnsi="Times New Roman" w:cs="Times New Roman"/>
          <w:b/>
          <w:sz w:val="20"/>
          <w:szCs w:val="20"/>
        </w:rPr>
      </w:pPr>
    </w:p>
    <w:tbl>
      <w:tblPr>
        <w:tblW w:w="9566" w:type="dxa"/>
        <w:tblInd w:w="50" w:type="dxa"/>
        <w:tblLook w:val="04A0"/>
      </w:tblPr>
      <w:tblGrid>
        <w:gridCol w:w="421"/>
        <w:gridCol w:w="1009"/>
        <w:gridCol w:w="158"/>
        <w:gridCol w:w="180"/>
        <w:gridCol w:w="2342"/>
        <w:gridCol w:w="1258"/>
        <w:gridCol w:w="328"/>
        <w:gridCol w:w="2202"/>
        <w:gridCol w:w="67"/>
        <w:gridCol w:w="1601"/>
      </w:tblGrid>
      <w:tr w:rsidR="00652802" w:rsidTr="00652802">
        <w:trPr>
          <w:trHeight w:val="255"/>
        </w:trPr>
        <w:tc>
          <w:tcPr>
            <w:tcW w:w="9566" w:type="dxa"/>
            <w:gridSpan w:val="10"/>
            <w:tcBorders>
              <w:top w:val="nil"/>
              <w:left w:val="nil"/>
              <w:bottom w:val="single" w:sz="8" w:space="0" w:color="auto"/>
              <w:right w:val="nil"/>
            </w:tcBorders>
            <w:noWrap/>
            <w:hideMark/>
          </w:tcPr>
          <w:p w:rsidR="00652802" w:rsidRDefault="0065280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Education</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67" w:type="dxa"/>
            <w:gridSpan w:val="2"/>
            <w:tcBorders>
              <w:top w:val="nil"/>
              <w:left w:val="nil"/>
              <w:bottom w:val="single" w:sz="4" w:space="0" w:color="595959"/>
              <w:right w:val="single" w:sz="4" w:space="0" w:color="595959"/>
            </w:tcBorders>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Years</w:t>
            </w:r>
          </w:p>
        </w:tc>
        <w:tc>
          <w:tcPr>
            <w:tcW w:w="3780" w:type="dxa"/>
            <w:gridSpan w:val="3"/>
            <w:tcBorders>
              <w:top w:val="nil"/>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of the University/Institute, Country</w:t>
            </w:r>
          </w:p>
        </w:tc>
        <w:tc>
          <w:tcPr>
            <w:tcW w:w="2530"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Academic Degree</w:t>
            </w:r>
          </w:p>
        </w:tc>
        <w:tc>
          <w:tcPr>
            <w:tcW w:w="1668" w:type="dxa"/>
            <w:gridSpan w:val="2"/>
            <w:tcBorders>
              <w:top w:val="nil"/>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Major / Specialty</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67" w:type="dxa"/>
            <w:gridSpan w:val="2"/>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lang w:val="ka-GE"/>
              </w:rPr>
              <w:t>2004</w:t>
            </w:r>
          </w:p>
        </w:tc>
        <w:tc>
          <w:tcPr>
            <w:tcW w:w="3780"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Arnold Chikobava Institute of Linguistics</w:t>
            </w:r>
          </w:p>
        </w:tc>
        <w:tc>
          <w:tcPr>
            <w:tcW w:w="2530" w:type="dxa"/>
            <w:gridSpan w:val="2"/>
            <w:tcBorders>
              <w:top w:val="single" w:sz="4" w:space="0" w:color="595959"/>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Doctor of Philological Sciences</w:t>
            </w:r>
          </w:p>
        </w:tc>
        <w:tc>
          <w:tcPr>
            <w:tcW w:w="1668"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Caucasian languages</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67" w:type="dxa"/>
            <w:gridSpan w:val="2"/>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sz w:val="20"/>
                <w:szCs w:val="20"/>
                <w:lang w:val="ka-GE"/>
              </w:rPr>
              <w:t>1978</w:t>
            </w:r>
          </w:p>
        </w:tc>
        <w:tc>
          <w:tcPr>
            <w:tcW w:w="3780"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Arnold Chikobava Institute of Linguistics</w:t>
            </w:r>
          </w:p>
        </w:tc>
        <w:tc>
          <w:tcPr>
            <w:tcW w:w="2530"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w:t>
            </w:r>
          </w:p>
        </w:tc>
        <w:tc>
          <w:tcPr>
            <w:tcW w:w="1668"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Caucasian languages</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67" w:type="dxa"/>
            <w:gridSpan w:val="2"/>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1953-1958</w:t>
            </w:r>
          </w:p>
        </w:tc>
        <w:tc>
          <w:tcPr>
            <w:tcW w:w="3780"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IvaneJavaxishvili Tbilisi State University</w:t>
            </w:r>
          </w:p>
        </w:tc>
        <w:tc>
          <w:tcPr>
            <w:tcW w:w="2530"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Master’s degree</w:t>
            </w:r>
          </w:p>
        </w:tc>
        <w:tc>
          <w:tcPr>
            <w:tcW w:w="1668"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Caucasian languages</w:t>
            </w:r>
          </w:p>
        </w:tc>
      </w:tr>
      <w:tr w:rsidR="00652802" w:rsidTr="00652802">
        <w:trPr>
          <w:trHeight w:val="240"/>
        </w:trPr>
        <w:tc>
          <w:tcPr>
            <w:tcW w:w="421" w:type="dxa"/>
            <w:noWrap/>
            <w:hideMark/>
          </w:tcPr>
          <w:p w:rsidR="00652802" w:rsidRDefault="00652802">
            <w:pPr>
              <w:rPr>
                <w:rFonts w:ascii="Times New Roman" w:eastAsia="Times New Roman" w:hAnsi="Times New Roman" w:cs="Times New Roman"/>
                <w:color w:val="000000"/>
                <w:sz w:val="20"/>
                <w:szCs w:val="20"/>
              </w:rPr>
            </w:pPr>
          </w:p>
        </w:tc>
        <w:tc>
          <w:tcPr>
            <w:tcW w:w="1167" w:type="dxa"/>
            <w:gridSpan w:val="2"/>
            <w:noWrap/>
            <w:hideMark/>
          </w:tcPr>
          <w:p w:rsidR="00652802" w:rsidRDefault="00652802">
            <w:pPr>
              <w:spacing w:after="0"/>
              <w:rPr>
                <w:sz w:val="20"/>
                <w:szCs w:val="20"/>
              </w:rPr>
            </w:pPr>
          </w:p>
        </w:tc>
        <w:tc>
          <w:tcPr>
            <w:tcW w:w="3780" w:type="dxa"/>
            <w:gridSpan w:val="3"/>
            <w:hideMark/>
          </w:tcPr>
          <w:p w:rsidR="00652802" w:rsidRDefault="00652802">
            <w:pPr>
              <w:spacing w:after="0"/>
              <w:rPr>
                <w:sz w:val="20"/>
                <w:szCs w:val="20"/>
              </w:rPr>
            </w:pPr>
          </w:p>
        </w:tc>
        <w:tc>
          <w:tcPr>
            <w:tcW w:w="2530" w:type="dxa"/>
            <w:gridSpan w:val="2"/>
            <w:hideMark/>
          </w:tcPr>
          <w:p w:rsidR="00652802" w:rsidRDefault="00652802">
            <w:pPr>
              <w:spacing w:after="0"/>
              <w:rPr>
                <w:sz w:val="20"/>
                <w:szCs w:val="20"/>
              </w:rPr>
            </w:pPr>
          </w:p>
        </w:tc>
        <w:tc>
          <w:tcPr>
            <w:tcW w:w="1668" w:type="dxa"/>
            <w:gridSpan w:val="2"/>
            <w:hideMark/>
          </w:tcPr>
          <w:p w:rsidR="00652802" w:rsidRDefault="00652802">
            <w:pPr>
              <w:spacing w:after="0"/>
              <w:rPr>
                <w:sz w:val="20"/>
                <w:szCs w:val="20"/>
              </w:rPr>
            </w:pPr>
          </w:p>
        </w:tc>
      </w:tr>
      <w:tr w:rsidR="00652802" w:rsidTr="00652802">
        <w:trPr>
          <w:trHeight w:val="255"/>
        </w:trPr>
        <w:tc>
          <w:tcPr>
            <w:tcW w:w="9566" w:type="dxa"/>
            <w:gridSpan w:val="10"/>
            <w:tcBorders>
              <w:top w:val="nil"/>
              <w:left w:val="nil"/>
              <w:bottom w:val="single" w:sz="8" w:space="0" w:color="auto"/>
              <w:right w:val="nil"/>
            </w:tcBorders>
            <w:noWrap/>
            <w:hideMark/>
          </w:tcPr>
          <w:p w:rsidR="00652802" w:rsidRDefault="0065280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Work Experience</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47" w:type="dxa"/>
            <w:gridSpan w:val="3"/>
            <w:tcBorders>
              <w:top w:val="nil"/>
              <w:left w:val="nil"/>
              <w:bottom w:val="single" w:sz="4" w:space="0" w:color="595959"/>
              <w:right w:val="single" w:sz="4" w:space="0" w:color="595959"/>
            </w:tcBorders>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Years</w:t>
            </w:r>
          </w:p>
        </w:tc>
        <w:tc>
          <w:tcPr>
            <w:tcW w:w="3928" w:type="dxa"/>
            <w:gridSpan w:val="3"/>
            <w:tcBorders>
              <w:top w:val="nil"/>
              <w:left w:val="nil"/>
              <w:bottom w:val="single" w:sz="4" w:space="0" w:color="595959"/>
              <w:right w:val="single" w:sz="4" w:space="0" w:color="595959"/>
            </w:tcBorders>
            <w:vAlign w:val="bottom"/>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Position</w:t>
            </w:r>
          </w:p>
        </w:tc>
        <w:tc>
          <w:tcPr>
            <w:tcW w:w="2269" w:type="dxa"/>
            <w:gridSpan w:val="2"/>
            <w:tcBorders>
              <w:top w:val="nil"/>
              <w:left w:val="nil"/>
              <w:bottom w:val="single" w:sz="4" w:space="0" w:color="595959"/>
              <w:right w:val="single" w:sz="4" w:space="0" w:color="595959"/>
            </w:tcBorders>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Department / Unit</w:t>
            </w:r>
          </w:p>
        </w:tc>
        <w:tc>
          <w:tcPr>
            <w:tcW w:w="1601" w:type="dxa"/>
            <w:tcBorders>
              <w:top w:val="nil"/>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Organization</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47" w:type="dxa"/>
            <w:gridSpan w:val="3"/>
            <w:tcBorders>
              <w:top w:val="nil"/>
              <w:left w:val="nil"/>
              <w:bottom w:val="single" w:sz="4" w:space="0" w:color="595959"/>
              <w:right w:val="single" w:sz="4" w:space="0" w:color="595959"/>
            </w:tcBorders>
            <w:noWrap/>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3928" w:type="dxa"/>
            <w:gridSpan w:val="3"/>
            <w:tcBorders>
              <w:top w:val="nil"/>
              <w:left w:val="nil"/>
              <w:bottom w:val="single" w:sz="4" w:space="0" w:color="595959"/>
              <w:right w:val="single" w:sz="4" w:space="0" w:color="595959"/>
            </w:tcBorders>
            <w:vAlign w:val="bottom"/>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Professor</w:t>
            </w:r>
          </w:p>
        </w:tc>
        <w:tc>
          <w:tcPr>
            <w:tcW w:w="2269" w:type="dxa"/>
            <w:gridSpan w:val="2"/>
            <w:tcBorders>
              <w:top w:val="nil"/>
              <w:left w:val="nil"/>
              <w:bottom w:val="single" w:sz="4" w:space="0" w:color="595959"/>
              <w:right w:val="single" w:sz="4" w:space="0" w:color="595959"/>
            </w:tcBorders>
            <w:noWrap/>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Department of Philology</w:t>
            </w:r>
          </w:p>
        </w:tc>
        <w:tc>
          <w:tcPr>
            <w:tcW w:w="1601" w:type="dxa"/>
            <w:tcBorders>
              <w:top w:val="nil"/>
              <w:left w:val="nil"/>
              <w:bottom w:val="single" w:sz="4" w:space="0" w:color="595959"/>
              <w:right w:val="single" w:sz="4" w:space="0" w:color="595959"/>
            </w:tcBorders>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Telavi State University (TESAU)</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47" w:type="dxa"/>
            <w:gridSpan w:val="3"/>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2008-2012</w:t>
            </w:r>
          </w:p>
        </w:tc>
        <w:tc>
          <w:tcPr>
            <w:tcW w:w="3928"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Head</w:t>
            </w:r>
          </w:p>
        </w:tc>
        <w:tc>
          <w:tcPr>
            <w:tcW w:w="2269"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Department of Philology</w:t>
            </w:r>
          </w:p>
        </w:tc>
        <w:tc>
          <w:tcPr>
            <w:tcW w:w="1601" w:type="dxa"/>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Telavi State University (TESAU)</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347" w:type="dxa"/>
            <w:gridSpan w:val="3"/>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2005-2008</w:t>
            </w:r>
          </w:p>
        </w:tc>
        <w:tc>
          <w:tcPr>
            <w:tcW w:w="3928"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 professor</w:t>
            </w:r>
          </w:p>
        </w:tc>
        <w:tc>
          <w:tcPr>
            <w:tcW w:w="2269"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Faculty of Humanities</w:t>
            </w:r>
          </w:p>
        </w:tc>
        <w:tc>
          <w:tcPr>
            <w:tcW w:w="1601" w:type="dxa"/>
            <w:tcBorders>
              <w:top w:val="single" w:sz="4" w:space="0" w:color="595959"/>
              <w:left w:val="nil"/>
              <w:bottom w:val="single" w:sz="4" w:space="0" w:color="595959"/>
              <w:right w:val="single" w:sz="4" w:space="0" w:color="595959"/>
            </w:tcBorders>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TESAU</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347" w:type="dxa"/>
            <w:gridSpan w:val="3"/>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1979-2005</w:t>
            </w:r>
          </w:p>
        </w:tc>
        <w:tc>
          <w:tcPr>
            <w:tcW w:w="3928"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Docent</w:t>
            </w:r>
          </w:p>
        </w:tc>
        <w:tc>
          <w:tcPr>
            <w:tcW w:w="2269"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Department of Georgian language</w:t>
            </w:r>
          </w:p>
        </w:tc>
        <w:tc>
          <w:tcPr>
            <w:tcW w:w="1601" w:type="dxa"/>
            <w:tcBorders>
              <w:top w:val="single" w:sz="4" w:space="0" w:color="595959"/>
              <w:left w:val="nil"/>
              <w:bottom w:val="single" w:sz="4" w:space="0" w:color="595959"/>
              <w:right w:val="single" w:sz="4" w:space="0" w:color="595959"/>
            </w:tcBorders>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TESAU</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347" w:type="dxa"/>
            <w:gridSpan w:val="3"/>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1971-1979</w:t>
            </w:r>
          </w:p>
        </w:tc>
        <w:tc>
          <w:tcPr>
            <w:tcW w:w="3928"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Senior teacher</w:t>
            </w:r>
          </w:p>
        </w:tc>
        <w:tc>
          <w:tcPr>
            <w:tcW w:w="2269"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Department of Georgian language</w:t>
            </w:r>
          </w:p>
        </w:tc>
        <w:tc>
          <w:tcPr>
            <w:tcW w:w="1601" w:type="dxa"/>
            <w:tcBorders>
              <w:top w:val="single" w:sz="4" w:space="0" w:color="595959"/>
              <w:left w:val="nil"/>
              <w:bottom w:val="single" w:sz="4" w:space="0" w:color="595959"/>
              <w:right w:val="single" w:sz="4" w:space="0" w:color="595959"/>
            </w:tcBorders>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TESAU</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47" w:type="dxa"/>
            <w:gridSpan w:val="3"/>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1963-1971</w:t>
            </w:r>
          </w:p>
        </w:tc>
        <w:tc>
          <w:tcPr>
            <w:tcW w:w="3928"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w:t>
            </w:r>
          </w:p>
        </w:tc>
        <w:tc>
          <w:tcPr>
            <w:tcW w:w="2269" w:type="dxa"/>
            <w:gridSpan w:val="2"/>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Department of Georgian language</w:t>
            </w:r>
          </w:p>
        </w:tc>
        <w:tc>
          <w:tcPr>
            <w:tcW w:w="1601" w:type="dxa"/>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TESAU</w:t>
            </w:r>
          </w:p>
        </w:tc>
      </w:tr>
      <w:tr w:rsidR="00652802" w:rsidTr="00652802">
        <w:trPr>
          <w:trHeight w:val="165"/>
        </w:trPr>
        <w:tc>
          <w:tcPr>
            <w:tcW w:w="421" w:type="dxa"/>
            <w:noWrap/>
            <w:hideMark/>
          </w:tcPr>
          <w:p w:rsidR="00652802" w:rsidRDefault="00652802">
            <w:pPr>
              <w:rPr>
                <w:rFonts w:ascii="Times New Roman" w:eastAsia="Times New Roman" w:hAnsi="Times New Roman" w:cs="Times New Roman"/>
                <w:color w:val="000000"/>
                <w:sz w:val="20"/>
                <w:szCs w:val="20"/>
              </w:rPr>
            </w:pPr>
          </w:p>
        </w:tc>
        <w:tc>
          <w:tcPr>
            <w:tcW w:w="1347" w:type="dxa"/>
            <w:gridSpan w:val="3"/>
            <w:noWrap/>
            <w:hideMark/>
          </w:tcPr>
          <w:p w:rsidR="00652802" w:rsidRDefault="00652802">
            <w:pPr>
              <w:spacing w:after="0"/>
              <w:rPr>
                <w:sz w:val="20"/>
                <w:szCs w:val="20"/>
              </w:rPr>
            </w:pPr>
          </w:p>
        </w:tc>
        <w:tc>
          <w:tcPr>
            <w:tcW w:w="3928" w:type="dxa"/>
            <w:gridSpan w:val="3"/>
            <w:hideMark/>
          </w:tcPr>
          <w:p w:rsidR="00652802" w:rsidRDefault="00652802">
            <w:pPr>
              <w:spacing w:after="0"/>
              <w:rPr>
                <w:sz w:val="20"/>
                <w:szCs w:val="20"/>
              </w:rPr>
            </w:pPr>
          </w:p>
        </w:tc>
        <w:tc>
          <w:tcPr>
            <w:tcW w:w="2269" w:type="dxa"/>
            <w:gridSpan w:val="2"/>
            <w:hideMark/>
          </w:tcPr>
          <w:p w:rsidR="00652802" w:rsidRDefault="00652802">
            <w:pPr>
              <w:spacing w:after="0"/>
              <w:rPr>
                <w:sz w:val="20"/>
                <w:szCs w:val="20"/>
              </w:rPr>
            </w:pPr>
          </w:p>
        </w:tc>
        <w:tc>
          <w:tcPr>
            <w:tcW w:w="1601" w:type="dxa"/>
            <w:hideMark/>
          </w:tcPr>
          <w:p w:rsidR="00652802" w:rsidRDefault="00652802">
            <w:pPr>
              <w:spacing w:after="0"/>
              <w:rPr>
                <w:sz w:val="20"/>
                <w:szCs w:val="20"/>
              </w:rPr>
            </w:pPr>
          </w:p>
        </w:tc>
      </w:tr>
      <w:tr w:rsidR="00652802" w:rsidTr="00652802">
        <w:trPr>
          <w:trHeight w:val="255"/>
        </w:trPr>
        <w:tc>
          <w:tcPr>
            <w:tcW w:w="9566" w:type="dxa"/>
            <w:gridSpan w:val="10"/>
            <w:tcBorders>
              <w:top w:val="nil"/>
              <w:left w:val="nil"/>
              <w:bottom w:val="single" w:sz="8" w:space="0" w:color="auto"/>
              <w:right w:val="nil"/>
            </w:tcBorders>
            <w:noWrap/>
            <w:hideMark/>
          </w:tcPr>
          <w:p w:rsidR="00652802" w:rsidRDefault="0065280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3. Participation in Research Projects </w:t>
            </w:r>
            <w:r>
              <w:rPr>
                <w:rFonts w:ascii="Times New Roman" w:eastAsia="Times New Roman" w:hAnsi="Times New Roman" w:cs="Times New Roman"/>
                <w:b/>
                <w:bCs/>
                <w:color w:val="000000"/>
                <w:sz w:val="20"/>
                <w:szCs w:val="20"/>
                <w:lang w:val="ka-GE"/>
              </w:rPr>
              <w:t>(</w:t>
            </w:r>
            <w:r>
              <w:rPr>
                <w:rFonts w:ascii="Times New Roman" w:eastAsia="Times New Roman" w:hAnsi="Times New Roman" w:cs="Times New Roman"/>
                <w:b/>
                <w:bCs/>
                <w:color w:val="000000"/>
                <w:sz w:val="20"/>
                <w:szCs w:val="20"/>
              </w:rPr>
              <w:t>over thelast 5years)</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noWrap/>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Years</w:t>
            </w:r>
          </w:p>
        </w:tc>
        <w:tc>
          <w:tcPr>
            <w:tcW w:w="2680" w:type="dxa"/>
            <w:gridSpan w:val="3"/>
            <w:tcBorders>
              <w:top w:val="nil"/>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Position / Responsibility</w:t>
            </w:r>
          </w:p>
        </w:tc>
        <w:tc>
          <w:tcPr>
            <w:tcW w:w="3855" w:type="dxa"/>
            <w:gridSpan w:val="4"/>
            <w:tcBorders>
              <w:top w:val="nil"/>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 Title</w:t>
            </w:r>
          </w:p>
        </w:tc>
        <w:tc>
          <w:tcPr>
            <w:tcW w:w="1601" w:type="dxa"/>
            <w:tcBorders>
              <w:top w:val="nil"/>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Donor Organization</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noWrap/>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2016-2019</w:t>
            </w:r>
          </w:p>
        </w:tc>
        <w:tc>
          <w:tcPr>
            <w:tcW w:w="2680" w:type="dxa"/>
            <w:gridSpan w:val="3"/>
            <w:tcBorders>
              <w:top w:val="nil"/>
              <w:left w:val="nil"/>
              <w:bottom w:val="single" w:sz="4" w:space="0" w:color="595959"/>
              <w:right w:val="single" w:sz="4" w:space="0" w:color="595959"/>
            </w:tcBorders>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Key Personnel</w:t>
            </w:r>
          </w:p>
        </w:tc>
        <w:tc>
          <w:tcPr>
            <w:tcW w:w="3855" w:type="dxa"/>
            <w:gridSpan w:val="4"/>
            <w:tcBorders>
              <w:top w:val="nil"/>
              <w:left w:val="nil"/>
              <w:bottom w:val="single" w:sz="4" w:space="0" w:color="595959"/>
              <w:right w:val="single" w:sz="4" w:space="0" w:color="595959"/>
            </w:tcBorders>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shd w:val="clear" w:color="auto" w:fill="FFFFFF"/>
              </w:rPr>
              <w:t>Endangered Languages and the Vital Meaning of their Documentation (according to the Tsovatush Language)</w:t>
            </w:r>
            <w:r>
              <w:rPr>
                <w:rFonts w:ascii="Times New Roman" w:eastAsia="Times New Roman" w:hAnsi="Times New Roman" w:cs="Times New Roman"/>
                <w:color w:val="000000"/>
                <w:sz w:val="20"/>
                <w:szCs w:val="20"/>
              </w:rPr>
              <w:t>  </w:t>
            </w:r>
          </w:p>
        </w:tc>
        <w:tc>
          <w:tcPr>
            <w:tcW w:w="1601" w:type="dxa"/>
            <w:tcBorders>
              <w:top w:val="nil"/>
              <w:left w:val="nil"/>
              <w:bottom w:val="single" w:sz="4" w:space="0" w:color="595959"/>
              <w:right w:val="single" w:sz="4" w:space="0" w:color="595959"/>
            </w:tcBorders>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Shota Rustaveli National Science Foundation  </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2013-2016</w:t>
            </w:r>
          </w:p>
        </w:tc>
        <w:tc>
          <w:tcPr>
            <w:tcW w:w="2680"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Principle Investigator</w:t>
            </w:r>
          </w:p>
        </w:tc>
        <w:tc>
          <w:tcPr>
            <w:tcW w:w="3855" w:type="dxa"/>
            <w:gridSpan w:val="4"/>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shd w:val="clear" w:color="auto" w:fill="FFFFFF"/>
              </w:rPr>
              <w:t>The Chance of the Minority Languages in the Conditions of the Globalization and the Vital Mining of their Documentation (according to the Tsovatush Language)</w:t>
            </w:r>
            <w:r>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Shota Rustaveli National Science Foundation  </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noWrap/>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2010-</w:t>
            </w:r>
            <w:r>
              <w:rPr>
                <w:rFonts w:ascii="Times New Roman" w:eastAsia="Times New Roman" w:hAnsi="Times New Roman" w:cs="Times New Roman"/>
                <w:color w:val="000000"/>
                <w:sz w:val="20"/>
                <w:szCs w:val="20"/>
              </w:rPr>
              <w:lastRenderedPageBreak/>
              <w:t>2013</w:t>
            </w:r>
          </w:p>
        </w:tc>
        <w:tc>
          <w:tcPr>
            <w:tcW w:w="2680" w:type="dxa"/>
            <w:gridSpan w:val="3"/>
            <w:tcBorders>
              <w:top w:val="single" w:sz="4" w:space="0" w:color="595959"/>
              <w:left w:val="nil"/>
              <w:bottom w:val="single" w:sz="4" w:space="0" w:color="595959"/>
              <w:right w:val="single" w:sz="4" w:space="0" w:color="595959"/>
            </w:tcBorders>
            <w:hideMark/>
          </w:tcPr>
          <w:p w:rsidR="00652802" w:rsidRDefault="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r>
              <w:rPr>
                <w:rFonts w:ascii="Times New Roman" w:hAnsi="Times New Roman" w:cs="Times New Roman"/>
                <w:color w:val="000000"/>
                <w:sz w:val="20"/>
                <w:szCs w:val="20"/>
                <w:shd w:val="clear" w:color="auto" w:fill="FFFFFF"/>
              </w:rPr>
              <w:t>Principle Investigator</w:t>
            </w:r>
          </w:p>
        </w:tc>
        <w:tc>
          <w:tcPr>
            <w:tcW w:w="3855" w:type="dxa"/>
            <w:gridSpan w:val="4"/>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shd w:val="clear" w:color="auto" w:fill="FFFFFF"/>
              </w:rPr>
              <w:t xml:space="preserve">Minority Languages - Mental Forms Of </w:t>
            </w:r>
            <w:r>
              <w:rPr>
                <w:rFonts w:ascii="Times New Roman" w:hAnsi="Times New Roman" w:cs="Times New Roman"/>
                <w:color w:val="000000"/>
                <w:sz w:val="20"/>
                <w:szCs w:val="20"/>
                <w:shd w:val="clear" w:color="auto" w:fill="FFFFFF"/>
              </w:rPr>
              <w:lastRenderedPageBreak/>
              <w:t>Mankind Existence in the Conditions of Globalization (according to the TscovaTush-Georgian Language materials)</w:t>
            </w:r>
            <w:r>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hideMark/>
          </w:tcPr>
          <w:p w:rsidR="00652802" w:rsidRDefault="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TESAU</w:t>
            </w:r>
          </w:p>
        </w:tc>
      </w:tr>
    </w:tbl>
    <w:p w:rsidR="00652802" w:rsidRDefault="00652802" w:rsidP="00652802">
      <w:pPr>
        <w:spacing w:after="0" w:line="240" w:lineRule="auto"/>
        <w:rPr>
          <w:rFonts w:ascii="Times New Roman" w:eastAsia="Times New Roman" w:hAnsi="Times New Roman" w:cs="Times New Roman"/>
          <w:b/>
          <w:bCs/>
          <w:color w:val="000000"/>
          <w:sz w:val="20"/>
          <w:szCs w:val="20"/>
        </w:rPr>
        <w:sectPr w:rsidR="00652802">
          <w:pgSz w:w="12240" w:h="15840"/>
          <w:pgMar w:top="1170" w:right="990" w:bottom="1440" w:left="1170" w:header="720" w:footer="720" w:gutter="0"/>
          <w:cols w:space="720"/>
        </w:sectPr>
      </w:pPr>
    </w:p>
    <w:tbl>
      <w:tblPr>
        <w:tblpPr w:leftFromText="180" w:rightFromText="180" w:vertAnchor="text" w:horzAnchor="margin" w:tblpY="497"/>
        <w:tblW w:w="9360" w:type="dxa"/>
        <w:tblLook w:val="04A0"/>
      </w:tblPr>
      <w:tblGrid>
        <w:gridCol w:w="421"/>
        <w:gridCol w:w="4254"/>
        <w:gridCol w:w="4685"/>
      </w:tblGrid>
      <w:tr w:rsidR="00652802" w:rsidTr="00652802">
        <w:trPr>
          <w:trHeight w:val="270"/>
        </w:trPr>
        <w:tc>
          <w:tcPr>
            <w:tcW w:w="9360" w:type="dxa"/>
            <w:gridSpan w:val="3"/>
            <w:tcBorders>
              <w:top w:val="nil"/>
              <w:left w:val="nil"/>
              <w:bottom w:val="single" w:sz="8" w:space="0" w:color="auto"/>
              <w:right w:val="nil"/>
            </w:tcBorders>
            <w:noWrap/>
            <w:hideMark/>
          </w:tcPr>
          <w:p w:rsidR="00652802" w:rsidRDefault="00652802" w:rsidP="00652802">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List of Publications in the International Peer Reviewed Journals(over the last 5 years)</w:t>
            </w:r>
            <w:r>
              <w:rPr>
                <w:rStyle w:val="FootnoteReference"/>
                <w:rFonts w:ascii="Times New Roman" w:hAnsi="Times New Roman" w:cs="Times New Roman"/>
                <w:sz w:val="20"/>
                <w:szCs w:val="20"/>
                <w:lang w:val="ka-GE"/>
              </w:rPr>
              <w:footnoteReference w:id="2"/>
            </w:r>
          </w:p>
        </w:tc>
      </w:tr>
      <w:tr w:rsidR="00652802" w:rsidTr="00652802">
        <w:trPr>
          <w:trHeight w:val="315"/>
        </w:trPr>
        <w:tc>
          <w:tcPr>
            <w:tcW w:w="421" w:type="dxa"/>
            <w:tcBorders>
              <w:top w:val="nil"/>
              <w:left w:val="single" w:sz="4" w:space="0" w:color="595959"/>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4" w:type="dxa"/>
            <w:tcBorders>
              <w:top w:val="nil"/>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Publication Title</w:t>
            </w:r>
          </w:p>
        </w:tc>
        <w:tc>
          <w:tcPr>
            <w:tcW w:w="4685" w:type="dxa"/>
            <w:tcBorders>
              <w:top w:val="nil"/>
              <w:left w:val="nil"/>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title, series, volume issue (publication date): page(s) or, book / monograph title, edition #, series publisher, city, year published</w:t>
            </w:r>
          </w:p>
        </w:tc>
      </w:tr>
      <w:tr w:rsidR="00652802" w:rsidTr="00652802">
        <w:trPr>
          <w:trHeight w:val="315"/>
        </w:trPr>
        <w:tc>
          <w:tcPr>
            <w:tcW w:w="421" w:type="dxa"/>
            <w:tcBorders>
              <w:top w:val="nil"/>
              <w:left w:val="single" w:sz="4" w:space="0" w:color="595959"/>
              <w:bottom w:val="single" w:sz="4" w:space="0" w:color="595959"/>
              <w:right w:val="single" w:sz="4" w:space="0" w:color="595959"/>
            </w:tcBorders>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254" w:type="dxa"/>
            <w:tcBorders>
              <w:top w:val="nil"/>
              <w:left w:val="nil"/>
              <w:bottom w:val="single" w:sz="4" w:space="0" w:color="595959"/>
              <w:right w:val="single" w:sz="4" w:space="0" w:color="595959"/>
            </w:tcBorders>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Tsovatush Texts, part IV (Tales, Legends, Ballades, Proverbs)</w:t>
            </w:r>
          </w:p>
        </w:tc>
        <w:tc>
          <w:tcPr>
            <w:tcW w:w="4685" w:type="dxa"/>
            <w:tcBorders>
              <w:top w:val="nil"/>
              <w:left w:val="nil"/>
              <w:bottom w:val="single" w:sz="4" w:space="0" w:color="595959"/>
              <w:right w:val="single" w:sz="4" w:space="0" w:color="595959"/>
            </w:tcBorders>
            <w:noWrap/>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Publishing house“Jeorpint”,Tbilisis, 2017, 365 p.</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25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Phraseology of Tsovatush Language</w:t>
            </w:r>
          </w:p>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(Monograph)</w:t>
            </w:r>
          </w:p>
        </w:tc>
        <w:tc>
          <w:tcPr>
            <w:tcW w:w="4685" w:type="dxa"/>
            <w:tcBorders>
              <w:top w:val="single" w:sz="4" w:space="0" w:color="595959"/>
              <w:left w:val="nil"/>
              <w:bottom w:val="single" w:sz="4" w:space="0" w:color="595959"/>
              <w:right w:val="single" w:sz="4" w:space="0" w:color="595959"/>
            </w:tcBorders>
            <w:noWrap/>
            <w:hideMark/>
          </w:tcPr>
          <w:p w:rsidR="00652802" w:rsidRDefault="00652802" w:rsidP="00652802">
            <w:pPr>
              <w:spacing w:after="0" w:line="240" w:lineRule="auto"/>
              <w:ind w:left="-28"/>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Publishing house “Saari”, Tbilisi, 2016, p. 350 p.</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5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Syntax of Simple Clause of Modern Tsovatush Language</w:t>
            </w:r>
            <w:r>
              <w:rPr>
                <w:rFonts w:ascii="Times New Roman" w:eastAsia="Times New Roman" w:hAnsi="Times New Roman" w:cs="Times New Roman"/>
                <w:color w:val="000000"/>
                <w:sz w:val="20"/>
                <w:szCs w:val="20"/>
              </w:rPr>
              <w:t>(Monograph)</w:t>
            </w:r>
          </w:p>
        </w:tc>
        <w:tc>
          <w:tcPr>
            <w:tcW w:w="468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Publishing house “Saari”, Tbilisi, 2015, 200 p.</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25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Tsovatush Texts, part III (rhymes)</w:t>
            </w:r>
          </w:p>
        </w:tc>
        <w:tc>
          <w:tcPr>
            <w:tcW w:w="4685" w:type="dxa"/>
            <w:tcBorders>
              <w:top w:val="single" w:sz="4" w:space="0" w:color="595959"/>
              <w:left w:val="nil"/>
              <w:bottom w:val="single" w:sz="4" w:space="0" w:color="595959"/>
              <w:right w:val="single" w:sz="4" w:space="0" w:color="595959"/>
            </w:tcBorders>
            <w:noWrap/>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Publishing house “Saari”, Tbilisi, 2015, 200 p.</w:t>
            </w:r>
          </w:p>
        </w:tc>
      </w:tr>
      <w:tr w:rsidR="00652802" w:rsidTr="00652802">
        <w:trPr>
          <w:trHeight w:val="240"/>
        </w:trPr>
        <w:tc>
          <w:tcPr>
            <w:tcW w:w="421" w:type="dxa"/>
            <w:tcBorders>
              <w:top w:val="nil"/>
              <w:left w:val="single" w:sz="4" w:space="0" w:color="595959"/>
              <w:bottom w:val="single" w:sz="4" w:space="0" w:color="auto"/>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25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Issues of Tsovatush Verb Morphology</w:t>
            </w:r>
            <w:r>
              <w:rPr>
                <w:rFonts w:ascii="Times New Roman" w:eastAsia="Times New Roman" w:hAnsi="Times New Roman" w:cs="Times New Roman"/>
                <w:color w:val="000000"/>
                <w:sz w:val="20"/>
                <w:szCs w:val="20"/>
              </w:rPr>
              <w:t>(Monograph)</w:t>
            </w:r>
          </w:p>
        </w:tc>
        <w:tc>
          <w:tcPr>
            <w:tcW w:w="468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Publishing house “Grifoni”, Tbilisi, 2013, 280 p.</w:t>
            </w:r>
          </w:p>
        </w:tc>
      </w:tr>
      <w:tr w:rsidR="00652802" w:rsidTr="00652802">
        <w:trPr>
          <w:trHeight w:val="240"/>
        </w:trPr>
        <w:tc>
          <w:tcPr>
            <w:tcW w:w="421" w:type="dxa"/>
            <w:tcBorders>
              <w:top w:val="single" w:sz="4" w:space="0" w:color="auto"/>
              <w:left w:val="single" w:sz="4" w:space="0" w:color="auto"/>
              <w:bottom w:val="single" w:sz="4" w:space="0" w:color="auto"/>
              <w:right w:val="single" w:sz="4" w:space="0" w:color="auto"/>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254" w:type="dxa"/>
            <w:tcBorders>
              <w:top w:val="single" w:sz="4" w:space="0" w:color="595959"/>
              <w:left w:val="single" w:sz="4" w:space="0" w:color="auto"/>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Morphology of Tsovatush Language Names</w:t>
            </w:r>
            <w:r>
              <w:rPr>
                <w:rFonts w:ascii="Times New Roman" w:eastAsia="Times New Roman" w:hAnsi="Times New Roman" w:cs="Times New Roman"/>
                <w:color w:val="000000"/>
                <w:sz w:val="20"/>
                <w:szCs w:val="20"/>
              </w:rPr>
              <w:t>(Monograph)</w:t>
            </w:r>
          </w:p>
        </w:tc>
        <w:tc>
          <w:tcPr>
            <w:tcW w:w="468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Publishing house “Universali”, Tbilisi, 2011,</w:t>
            </w:r>
          </w:p>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311 p.</w:t>
            </w:r>
          </w:p>
        </w:tc>
      </w:tr>
      <w:tr w:rsidR="00652802" w:rsidTr="00652802">
        <w:trPr>
          <w:trHeight w:val="240"/>
        </w:trPr>
        <w:tc>
          <w:tcPr>
            <w:tcW w:w="421" w:type="dxa"/>
            <w:tcBorders>
              <w:top w:val="single" w:sz="4" w:space="0" w:color="auto"/>
              <w:left w:val="single" w:sz="4" w:space="0" w:color="auto"/>
              <w:bottom w:val="single" w:sz="4" w:space="0" w:color="auto"/>
              <w:right w:val="single" w:sz="4" w:space="0" w:color="auto"/>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254" w:type="dxa"/>
            <w:tcBorders>
              <w:top w:val="single" w:sz="4" w:space="0" w:color="595959"/>
              <w:left w:val="single" w:sz="4" w:space="0" w:color="auto"/>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Tsovatush Texts, part II (Ethnographic)</w:t>
            </w:r>
          </w:p>
        </w:tc>
        <w:tc>
          <w:tcPr>
            <w:tcW w:w="468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Publishing house “Universal”, Tb., 2014, 322 p.</w:t>
            </w:r>
          </w:p>
        </w:tc>
      </w:tr>
      <w:tr w:rsidR="00652802" w:rsidTr="00652802">
        <w:trPr>
          <w:trHeight w:val="240"/>
        </w:trPr>
        <w:tc>
          <w:tcPr>
            <w:tcW w:w="421" w:type="dxa"/>
            <w:tcBorders>
              <w:top w:val="single" w:sz="4" w:space="0" w:color="auto"/>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25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Grammatical Category of Act in Tsovatush verb</w:t>
            </w:r>
          </w:p>
        </w:tc>
        <w:tc>
          <w:tcPr>
            <w:tcW w:w="468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Bulletin of scientific project, #3, Tbilisi, 2013, pp: 3-17.</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425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ArsenBertlani, MakvalaMikeladze, KetevanGigashvili, Tsovatush-Georgian-Russian-English Dictionary, volume II</w:t>
            </w:r>
          </w:p>
        </w:tc>
        <w:tc>
          <w:tcPr>
            <w:tcW w:w="468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Publishing house “Saari”, Tbilisi, 2013, 396 p.</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25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Tsovatush-Georgian-Russian-English Dictionary, volume I,</w:t>
            </w:r>
          </w:p>
        </w:tc>
        <w:tc>
          <w:tcPr>
            <w:tcW w:w="468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Publishing house “Saari”, Tbilisi, 2012, 391 p.</w:t>
            </w:r>
          </w:p>
        </w:tc>
      </w:tr>
      <w:tr w:rsidR="00652802" w:rsidTr="00652802">
        <w:trPr>
          <w:trHeight w:val="240"/>
        </w:trPr>
        <w:tc>
          <w:tcPr>
            <w:tcW w:w="421"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25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Tsovatush Texts, part I, Historical-Heroic, Life, Loving, “To be or not to be”</w:t>
            </w:r>
          </w:p>
        </w:tc>
        <w:tc>
          <w:tcPr>
            <w:tcW w:w="468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Publishing house “Universali”, Tb., 2011, 276 p.</w:t>
            </w:r>
          </w:p>
        </w:tc>
      </w:tr>
    </w:tbl>
    <w:p w:rsidR="00652802" w:rsidRDefault="00652802" w:rsidP="00652802">
      <w:pPr>
        <w:spacing w:after="0" w:line="240" w:lineRule="auto"/>
        <w:rPr>
          <w:rFonts w:ascii="Times New Roman" w:eastAsia="Times New Roman" w:hAnsi="Times New Roman" w:cs="Times New Roman"/>
          <w:b/>
          <w:bCs/>
          <w:color w:val="000000"/>
          <w:sz w:val="20"/>
          <w:szCs w:val="20"/>
        </w:rPr>
        <w:sectPr w:rsidR="00652802">
          <w:footnotePr>
            <w:numFmt w:val="chicago"/>
          </w:footnotePr>
          <w:type w:val="continuous"/>
          <w:pgSz w:w="12240" w:h="15840"/>
          <w:pgMar w:top="1170" w:right="990" w:bottom="1440" w:left="1170" w:header="720" w:footer="720" w:gutter="0"/>
          <w:cols w:space="720"/>
        </w:sectPr>
      </w:pPr>
    </w:p>
    <w:p w:rsidR="000C44E6" w:rsidRPr="001B52D8" w:rsidRDefault="000C44E6" w:rsidP="001B52D8">
      <w:pPr>
        <w:ind w:firstLine="720"/>
      </w:pPr>
    </w:p>
    <w:sectPr w:rsidR="000C44E6" w:rsidRPr="001B52D8" w:rsidSect="005F58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1EC" w:rsidRDefault="00F371EC" w:rsidP="00652802">
      <w:pPr>
        <w:spacing w:after="0" w:line="240" w:lineRule="auto"/>
      </w:pPr>
      <w:r>
        <w:separator/>
      </w:r>
    </w:p>
  </w:endnote>
  <w:endnote w:type="continuationSeparator" w:id="1">
    <w:p w:rsidR="00F371EC" w:rsidRDefault="00F371EC" w:rsidP="00652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1EC" w:rsidRDefault="00F371EC" w:rsidP="00652802">
      <w:pPr>
        <w:spacing w:after="0" w:line="240" w:lineRule="auto"/>
      </w:pPr>
      <w:r>
        <w:separator/>
      </w:r>
    </w:p>
  </w:footnote>
  <w:footnote w:type="continuationSeparator" w:id="1">
    <w:p w:rsidR="00F371EC" w:rsidRDefault="00F371EC" w:rsidP="00652802">
      <w:pPr>
        <w:spacing w:after="0" w:line="240" w:lineRule="auto"/>
      </w:pPr>
      <w:r>
        <w:continuationSeparator/>
      </w:r>
    </w:p>
  </w:footnote>
  <w:footnote w:id="2">
    <w:tbl>
      <w:tblPr>
        <w:tblW w:w="9602" w:type="dxa"/>
        <w:tblInd w:w="150" w:type="dxa"/>
        <w:tblLook w:val="04A0"/>
      </w:tblPr>
      <w:tblGrid>
        <w:gridCol w:w="482"/>
        <w:gridCol w:w="750"/>
        <w:gridCol w:w="2784"/>
        <w:gridCol w:w="1461"/>
        <w:gridCol w:w="4125"/>
      </w:tblGrid>
      <w:tr w:rsidR="00652802" w:rsidTr="00652802">
        <w:trPr>
          <w:trHeight w:val="240"/>
        </w:trPr>
        <w:tc>
          <w:tcPr>
            <w:tcW w:w="9602" w:type="dxa"/>
            <w:gridSpan w:val="5"/>
            <w:tcBorders>
              <w:top w:val="nil"/>
              <w:left w:val="nil"/>
              <w:bottom w:val="single" w:sz="8" w:space="0" w:color="auto"/>
              <w:right w:val="nil"/>
            </w:tcBorders>
            <w:noWrap/>
            <w:hideMark/>
          </w:tcPr>
          <w:p w:rsidR="00652802" w:rsidRDefault="00652802" w:rsidP="00652802">
            <w:pPr>
              <w:keepNext/>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 Participation in International Forums/Conferences (up to 5 events)</w:t>
            </w:r>
          </w:p>
          <w:p w:rsidR="00652802" w:rsidRDefault="00652802" w:rsidP="00652802">
            <w:pPr>
              <w:keepNext/>
              <w:spacing w:after="0" w:line="240" w:lineRule="auto"/>
              <w:rPr>
                <w:rFonts w:ascii="Times New Roman" w:eastAsia="Times New Roman" w:hAnsi="Times New Roman" w:cs="Times New Roman"/>
                <w:b/>
                <w:bCs/>
                <w:color w:val="000000"/>
                <w:sz w:val="20"/>
                <w:szCs w:val="20"/>
              </w:rPr>
            </w:pPr>
            <w:bookmarkStart w:id="0" w:name="_GoBack"/>
            <w:bookmarkEnd w:id="0"/>
          </w:p>
        </w:tc>
      </w:tr>
      <w:tr w:rsidR="00652802" w:rsidTr="00652802">
        <w:trPr>
          <w:trHeight w:val="240"/>
        </w:trPr>
        <w:tc>
          <w:tcPr>
            <w:tcW w:w="482" w:type="dxa"/>
            <w:tcBorders>
              <w:top w:val="nil"/>
              <w:left w:val="single" w:sz="4" w:space="0" w:color="595959"/>
              <w:bottom w:val="single" w:sz="4" w:space="0" w:color="595959"/>
              <w:right w:val="single" w:sz="4" w:space="0" w:color="595959"/>
            </w:tcBorders>
            <w:noWrap/>
            <w:hideMark/>
          </w:tcPr>
          <w:p w:rsidR="00652802" w:rsidRDefault="00652802" w:rsidP="00652802">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50" w:type="dxa"/>
            <w:tcBorders>
              <w:top w:val="nil"/>
              <w:left w:val="nil"/>
              <w:bottom w:val="single" w:sz="4" w:space="0" w:color="595959"/>
              <w:right w:val="single" w:sz="4" w:space="0" w:color="595959"/>
            </w:tcBorders>
            <w:noWrap/>
            <w:hideMark/>
          </w:tcPr>
          <w:p w:rsidR="00652802" w:rsidRDefault="00652802" w:rsidP="00652802">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2784" w:type="dxa"/>
            <w:tcBorders>
              <w:top w:val="nil"/>
              <w:left w:val="nil"/>
              <w:bottom w:val="single" w:sz="4" w:space="0" w:color="595959"/>
              <w:right w:val="single" w:sz="4" w:space="0" w:color="595959"/>
            </w:tcBorders>
            <w:hideMark/>
          </w:tcPr>
          <w:p w:rsidR="00652802" w:rsidRDefault="00652802" w:rsidP="00652802">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Event title</w:t>
            </w:r>
          </w:p>
        </w:tc>
        <w:tc>
          <w:tcPr>
            <w:tcW w:w="1461" w:type="dxa"/>
            <w:tcBorders>
              <w:top w:val="nil"/>
              <w:left w:val="nil"/>
              <w:bottom w:val="single" w:sz="4" w:space="0" w:color="595959"/>
              <w:right w:val="single" w:sz="4" w:space="0" w:color="595959"/>
            </w:tcBorders>
            <w:hideMark/>
          </w:tcPr>
          <w:p w:rsidR="00652802" w:rsidRDefault="00652802" w:rsidP="00652802">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Venue</w:t>
            </w:r>
          </w:p>
        </w:tc>
        <w:tc>
          <w:tcPr>
            <w:tcW w:w="4125" w:type="dxa"/>
            <w:tcBorders>
              <w:top w:val="nil"/>
              <w:left w:val="nil"/>
              <w:bottom w:val="single" w:sz="4" w:space="0" w:color="595959"/>
              <w:right w:val="single" w:sz="4" w:space="0" w:color="595959"/>
            </w:tcBorders>
            <w:hideMark/>
          </w:tcPr>
          <w:p w:rsidR="00652802" w:rsidRDefault="00652802" w:rsidP="00652802">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Presentation title</w:t>
            </w:r>
          </w:p>
        </w:tc>
      </w:tr>
      <w:tr w:rsidR="00652802" w:rsidTr="00652802">
        <w:trPr>
          <w:trHeight w:val="240"/>
        </w:trPr>
        <w:tc>
          <w:tcPr>
            <w:tcW w:w="482"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50" w:type="dxa"/>
            <w:tcBorders>
              <w:top w:val="nil"/>
              <w:left w:val="nil"/>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2015</w:t>
            </w:r>
          </w:p>
        </w:tc>
        <w:tc>
          <w:tcPr>
            <w:tcW w:w="278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jc w:val="center"/>
              <w:rPr>
                <w:rFonts w:ascii="Times New Roman" w:hAnsi="Times New Roman" w:cs="Times New Roman"/>
                <w:b/>
                <w:sz w:val="20"/>
                <w:szCs w:val="20"/>
              </w:rPr>
            </w:pPr>
            <w:r>
              <w:rPr>
                <w:rFonts w:ascii="Times New Roman" w:hAnsi="Times New Roman" w:cs="Times New Roman"/>
                <w:color w:val="000000"/>
                <w:sz w:val="20"/>
                <w:szCs w:val="20"/>
                <w:shd w:val="clear" w:color="auto" w:fill="FFFFFF"/>
              </w:rPr>
              <w:t>International Kartvelological Congress, I: Problems and Perspectives of Kartvelology</w:t>
            </w:r>
          </w:p>
        </w:tc>
        <w:tc>
          <w:tcPr>
            <w:tcW w:w="1461"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Tbilisi</w:t>
            </w:r>
          </w:p>
        </w:tc>
        <w:tc>
          <w:tcPr>
            <w:tcW w:w="412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color w:val="000000"/>
                <w:sz w:val="20"/>
                <w:szCs w:val="20"/>
              </w:rPr>
              <w:t> </w:t>
            </w:r>
            <w:r>
              <w:rPr>
                <w:rFonts w:ascii="Times New Roman" w:eastAsia="Times New Roman" w:hAnsi="Times New Roman" w:cs="Times New Roman"/>
                <w:bCs/>
                <w:sz w:val="20"/>
                <w:szCs w:val="20"/>
                <w:lang w:eastAsia="ru-RU"/>
              </w:rPr>
              <w:t>Pleonasm in the Syntactic Pairs of the Tsovatush Language</w:t>
            </w:r>
          </w:p>
        </w:tc>
      </w:tr>
      <w:tr w:rsidR="00652802" w:rsidTr="00652802">
        <w:trPr>
          <w:trHeight w:val="240"/>
        </w:trPr>
        <w:tc>
          <w:tcPr>
            <w:tcW w:w="482"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50" w:type="dxa"/>
            <w:tcBorders>
              <w:top w:val="nil"/>
              <w:left w:val="nil"/>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2013</w:t>
            </w:r>
          </w:p>
        </w:tc>
        <w:tc>
          <w:tcPr>
            <w:tcW w:w="278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 International Symposium: ‘Caucasus and Globalization: </w:t>
            </w:r>
            <w:r>
              <w:rPr>
                <w:rFonts w:ascii="Times New Roman" w:hAnsi="Times New Roman" w:cs="Times New Roman"/>
                <w:color w:val="000000"/>
                <w:sz w:val="20"/>
                <w:szCs w:val="20"/>
                <w:shd w:val="clear" w:color="auto" w:fill="FFFFFF"/>
              </w:rPr>
              <w:t>Problems and Perspectives’</w:t>
            </w:r>
          </w:p>
        </w:tc>
        <w:tc>
          <w:tcPr>
            <w:tcW w:w="1461"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Telavi</w:t>
            </w:r>
          </w:p>
        </w:tc>
        <w:tc>
          <w:tcPr>
            <w:tcW w:w="412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The Issue of Grammatical Status of Tsovatush Verb Act </w:t>
            </w:r>
          </w:p>
        </w:tc>
      </w:tr>
      <w:tr w:rsidR="00652802" w:rsidTr="00652802">
        <w:trPr>
          <w:trHeight w:val="240"/>
        </w:trPr>
        <w:tc>
          <w:tcPr>
            <w:tcW w:w="482"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50" w:type="dxa"/>
            <w:tcBorders>
              <w:top w:val="nil"/>
              <w:left w:val="nil"/>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2012</w:t>
            </w:r>
          </w:p>
        </w:tc>
        <w:tc>
          <w:tcPr>
            <w:tcW w:w="278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II International Symposium in Lexicology</w:t>
            </w:r>
          </w:p>
        </w:tc>
        <w:tc>
          <w:tcPr>
            <w:tcW w:w="1461"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Batumi</w:t>
            </w:r>
          </w:p>
        </w:tc>
        <w:tc>
          <w:tcPr>
            <w:tcW w:w="412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br/>
              <w:t xml:space="preserve">On the Structure and Lexicographic Principles of the I Volume of Tsovatush-Georgian-Russian-English Quadrilingual Dictionary (co-authored) </w:t>
            </w:r>
          </w:p>
        </w:tc>
      </w:tr>
      <w:tr w:rsidR="00652802" w:rsidTr="00652802">
        <w:trPr>
          <w:trHeight w:val="240"/>
        </w:trPr>
        <w:tc>
          <w:tcPr>
            <w:tcW w:w="482"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50" w:type="dxa"/>
            <w:tcBorders>
              <w:top w:val="nil"/>
              <w:left w:val="nil"/>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2011</w:t>
            </w:r>
          </w:p>
        </w:tc>
        <w:tc>
          <w:tcPr>
            <w:tcW w:w="278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III International Symposiumin  Caucasus Studies</w:t>
            </w:r>
          </w:p>
        </w:tc>
        <w:tc>
          <w:tcPr>
            <w:tcW w:w="1461"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Tbilisi</w:t>
            </w:r>
          </w:p>
        </w:tc>
        <w:tc>
          <w:tcPr>
            <w:tcW w:w="412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 xml:space="preserve">Algebraic </w:t>
            </w:r>
            <w:r>
              <w:rPr>
                <w:rFonts w:ascii="Times New Roman" w:eastAsia="Times New Roman" w:hAnsi="Times New Roman" w:cs="Times New Roman"/>
                <w:color w:val="000000"/>
                <w:sz w:val="20"/>
                <w:szCs w:val="20"/>
              </w:rPr>
              <w:t>Borrowing, as the Main Characteristic  for the High Level of Bilingualism (according to Tsovatus-Georgian Bilingual Materials)</w:t>
            </w:r>
          </w:p>
        </w:tc>
      </w:tr>
      <w:tr w:rsidR="00652802" w:rsidTr="00652802">
        <w:trPr>
          <w:trHeight w:val="240"/>
        </w:trPr>
        <w:tc>
          <w:tcPr>
            <w:tcW w:w="482" w:type="dxa"/>
            <w:tcBorders>
              <w:top w:val="nil"/>
              <w:left w:val="single" w:sz="4" w:space="0" w:color="595959"/>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50" w:type="dxa"/>
            <w:tcBorders>
              <w:top w:val="nil"/>
              <w:left w:val="nil"/>
              <w:bottom w:val="single" w:sz="4" w:space="0" w:color="595959"/>
              <w:right w:val="single" w:sz="4" w:space="0" w:color="595959"/>
            </w:tcBorders>
            <w:noWrap/>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2008</w:t>
            </w:r>
          </w:p>
        </w:tc>
        <w:tc>
          <w:tcPr>
            <w:tcW w:w="2784"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hAnsi="Times New Roman" w:cs="Times New Roman"/>
                <w:color w:val="000000"/>
                <w:sz w:val="20"/>
                <w:szCs w:val="20"/>
                <w:shd w:val="clear" w:color="auto" w:fill="FFFFFF"/>
              </w:rPr>
              <w:t>II International Symposiumin  Caucasus Studies</w:t>
            </w:r>
          </w:p>
        </w:tc>
        <w:tc>
          <w:tcPr>
            <w:tcW w:w="1461"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Tbilisi</w:t>
            </w:r>
          </w:p>
        </w:tc>
        <w:tc>
          <w:tcPr>
            <w:tcW w:w="4125" w:type="dxa"/>
            <w:tcBorders>
              <w:top w:val="single" w:sz="4" w:space="0" w:color="595959"/>
              <w:left w:val="nil"/>
              <w:bottom w:val="single" w:sz="4" w:space="0" w:color="595959"/>
              <w:right w:val="single" w:sz="4" w:space="0" w:color="595959"/>
            </w:tcBorders>
            <w:hideMark/>
          </w:tcPr>
          <w:p w:rsidR="00652802" w:rsidRDefault="00652802" w:rsidP="006528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52802" w:rsidTr="00652802">
        <w:trPr>
          <w:trHeight w:val="240"/>
        </w:trPr>
        <w:tc>
          <w:tcPr>
            <w:tcW w:w="482" w:type="dxa"/>
            <w:noWrap/>
            <w:hideMark/>
          </w:tcPr>
          <w:p w:rsidR="00652802" w:rsidRDefault="00652802" w:rsidP="00652802">
            <w:pPr>
              <w:rPr>
                <w:rFonts w:ascii="Times New Roman" w:eastAsia="Times New Roman" w:hAnsi="Times New Roman" w:cs="Times New Roman"/>
                <w:color w:val="000000"/>
                <w:sz w:val="20"/>
                <w:szCs w:val="20"/>
              </w:rPr>
            </w:pPr>
          </w:p>
        </w:tc>
        <w:tc>
          <w:tcPr>
            <w:tcW w:w="750" w:type="dxa"/>
            <w:noWrap/>
            <w:hideMark/>
          </w:tcPr>
          <w:p w:rsidR="00652802" w:rsidRDefault="00652802" w:rsidP="00652802">
            <w:pPr>
              <w:spacing w:after="0"/>
              <w:rPr>
                <w:sz w:val="20"/>
                <w:szCs w:val="20"/>
              </w:rPr>
            </w:pPr>
          </w:p>
        </w:tc>
        <w:tc>
          <w:tcPr>
            <w:tcW w:w="2784" w:type="dxa"/>
            <w:hideMark/>
          </w:tcPr>
          <w:p w:rsidR="00652802" w:rsidRDefault="00652802" w:rsidP="00652802">
            <w:pPr>
              <w:spacing w:after="0"/>
              <w:rPr>
                <w:sz w:val="20"/>
                <w:szCs w:val="20"/>
              </w:rPr>
            </w:pPr>
          </w:p>
        </w:tc>
        <w:tc>
          <w:tcPr>
            <w:tcW w:w="1461" w:type="dxa"/>
            <w:hideMark/>
          </w:tcPr>
          <w:p w:rsidR="00652802" w:rsidRDefault="00652802" w:rsidP="00652802">
            <w:pPr>
              <w:spacing w:after="0"/>
              <w:rPr>
                <w:sz w:val="20"/>
                <w:szCs w:val="20"/>
              </w:rPr>
            </w:pPr>
          </w:p>
        </w:tc>
        <w:tc>
          <w:tcPr>
            <w:tcW w:w="4125" w:type="dxa"/>
            <w:hideMark/>
          </w:tcPr>
          <w:p w:rsidR="00652802" w:rsidRDefault="00652802" w:rsidP="00652802">
            <w:pPr>
              <w:spacing w:after="0"/>
              <w:rPr>
                <w:sz w:val="20"/>
                <w:szCs w:val="20"/>
              </w:rPr>
            </w:pPr>
          </w:p>
        </w:tc>
      </w:tr>
    </w:tbl>
    <w:p w:rsidR="00652802" w:rsidRDefault="00652802" w:rsidP="00652802">
      <w:pPr>
        <w:pStyle w:val="FootnoteText"/>
        <w:rPr>
          <w:sz w:val="18"/>
          <w:szCs w:val="18"/>
        </w:rPr>
      </w:pPr>
      <w:r>
        <w:rPr>
          <w:rStyle w:val="FootnoteReference"/>
          <w:sz w:val="18"/>
          <w:szCs w:val="18"/>
        </w:rPr>
        <w:footnoteRef/>
      </w:r>
      <w:r>
        <w:rPr>
          <w:rFonts w:ascii="Times New Roman" w:hAnsi="Times New Roman" w:cs="Times New Roman"/>
          <w:sz w:val="18"/>
          <w:szCs w:val="18"/>
        </w:rPr>
        <w:t>It is mandatory to provide a resume of the paper in English in case it isn’t published in international peer reviewed journals and the language of publication was other than English (i.e. Georgian, Russian, etc). This refers to principal investigators publications only.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1323"/>
    <w:rsid w:val="000C44E6"/>
    <w:rsid w:val="001B52D8"/>
    <w:rsid w:val="005F5833"/>
    <w:rsid w:val="00652802"/>
    <w:rsid w:val="00A71323"/>
    <w:rsid w:val="00DF3E6B"/>
    <w:rsid w:val="00F371EC"/>
    <w:rsid w:val="00FD4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0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802"/>
    <w:rPr>
      <w:color w:val="0000FF"/>
      <w:u w:val="single"/>
    </w:rPr>
  </w:style>
  <w:style w:type="paragraph" w:styleId="FootnoteText">
    <w:name w:val="footnote text"/>
    <w:basedOn w:val="Normal"/>
    <w:link w:val="FootnoteTextChar"/>
    <w:uiPriority w:val="99"/>
    <w:semiHidden/>
    <w:unhideWhenUsed/>
    <w:rsid w:val="0065280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52802"/>
    <w:rPr>
      <w:sz w:val="20"/>
      <w:szCs w:val="20"/>
    </w:rPr>
  </w:style>
  <w:style w:type="character" w:styleId="FootnoteReference">
    <w:name w:val="footnote reference"/>
    <w:basedOn w:val="DefaultParagraphFont"/>
    <w:uiPriority w:val="99"/>
    <w:semiHidden/>
    <w:unhideWhenUsed/>
    <w:rsid w:val="00652802"/>
    <w:rPr>
      <w:vertAlign w:val="superscript"/>
    </w:rPr>
  </w:style>
  <w:style w:type="paragraph" w:styleId="Header">
    <w:name w:val="header"/>
    <w:basedOn w:val="Normal"/>
    <w:link w:val="HeaderChar"/>
    <w:uiPriority w:val="99"/>
    <w:semiHidden/>
    <w:unhideWhenUsed/>
    <w:rsid w:val="001B52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52D8"/>
    <w:rPr>
      <w:rFonts w:eastAsiaTheme="minorEastAsia"/>
    </w:rPr>
  </w:style>
  <w:style w:type="paragraph" w:styleId="Footer">
    <w:name w:val="footer"/>
    <w:basedOn w:val="Normal"/>
    <w:link w:val="FooterChar"/>
    <w:uiPriority w:val="99"/>
    <w:semiHidden/>
    <w:unhideWhenUsed/>
    <w:rsid w:val="001B52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52D8"/>
    <w:rPr>
      <w:rFonts w:eastAsiaTheme="minorEastAsia"/>
    </w:rPr>
  </w:style>
</w:styles>
</file>

<file path=word/webSettings.xml><?xml version="1.0" encoding="utf-8"?>
<w:webSettings xmlns:r="http://schemas.openxmlformats.org/officeDocument/2006/relationships" xmlns:w="http://schemas.openxmlformats.org/wordprocessingml/2006/main">
  <w:divs>
    <w:div w:id="2047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ikeladz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Keti HR</cp:lastModifiedBy>
  <cp:revision>4</cp:revision>
  <cp:lastPrinted>2018-03-12T12:23:00Z</cp:lastPrinted>
  <dcterms:created xsi:type="dcterms:W3CDTF">2018-02-28T06:07:00Z</dcterms:created>
  <dcterms:modified xsi:type="dcterms:W3CDTF">2018-03-12T12:24:00Z</dcterms:modified>
</cp:coreProperties>
</file>